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D2" w:rsidRDefault="00AA45D2" w:rsidP="00AA45D2">
      <w:pPr>
        <w:autoSpaceDE w:val="0"/>
        <w:autoSpaceDN w:val="0"/>
        <w:adjustRightInd w:val="0"/>
        <w:spacing w:line="360" w:lineRule="auto"/>
        <w:jc w:val="both"/>
        <w:rPr>
          <w:rFonts w:ascii="Arial" w:hAnsi="Arial" w:cs="Arial"/>
          <w:b/>
          <w:bCs/>
          <w:sz w:val="22"/>
          <w:szCs w:val="22"/>
        </w:rPr>
      </w:pPr>
    </w:p>
    <w:p w:rsidR="00AA45D2" w:rsidRDefault="00AA45D2" w:rsidP="00AA45D2">
      <w:pPr>
        <w:autoSpaceDE w:val="0"/>
        <w:autoSpaceDN w:val="0"/>
        <w:adjustRightInd w:val="0"/>
        <w:spacing w:line="360" w:lineRule="auto"/>
        <w:jc w:val="both"/>
        <w:rPr>
          <w:rFonts w:ascii="Arial" w:hAnsi="Arial" w:cs="Arial"/>
          <w:b/>
          <w:bCs/>
          <w:sz w:val="22"/>
          <w:szCs w:val="22"/>
        </w:rPr>
      </w:pPr>
      <w:r w:rsidRPr="00771217">
        <w:rPr>
          <w:rFonts w:ascii="Arial" w:hAnsi="Arial"/>
          <w:b/>
          <w:bCs/>
          <w:sz w:val="22"/>
          <w:szCs w:val="22"/>
        </w:rPr>
        <w:t>AURRETIKO KONTSULTA PUBLIKOA, 4/2015 LEGEA, EKAINAREN 25EKOA, LURZORUA KUTSATZEA SAIHESTU ETA KUTSATUTAKOA GARBITZEKOA, GARATZEKO DEKRETUARI BURUZKOA</w:t>
      </w:r>
    </w:p>
    <w:p w:rsidR="00AA45D2" w:rsidRDefault="00AA45D2" w:rsidP="00AA45D2">
      <w:pPr>
        <w:autoSpaceDE w:val="0"/>
        <w:autoSpaceDN w:val="0"/>
        <w:adjustRightInd w:val="0"/>
        <w:spacing w:line="276" w:lineRule="auto"/>
        <w:jc w:val="both"/>
        <w:rPr>
          <w:rFonts w:ascii="Arial" w:hAnsi="Arial" w:cs="Arial"/>
          <w:sz w:val="22"/>
          <w:szCs w:val="22"/>
        </w:rPr>
      </w:pPr>
    </w:p>
    <w:p w:rsidR="00AA45D2" w:rsidRDefault="00AA45D2" w:rsidP="00AA45D2">
      <w:pPr>
        <w:autoSpaceDE w:val="0"/>
        <w:autoSpaceDN w:val="0"/>
        <w:adjustRightInd w:val="0"/>
        <w:spacing w:line="276" w:lineRule="auto"/>
        <w:jc w:val="both"/>
        <w:rPr>
          <w:rFonts w:ascii="Arial" w:hAnsi="Arial" w:cs="Arial"/>
          <w:sz w:val="22"/>
          <w:szCs w:val="22"/>
        </w:rPr>
      </w:pPr>
      <w:r>
        <w:rPr>
          <w:rFonts w:ascii="Arial" w:hAnsi="Arial"/>
          <w:sz w:val="22"/>
          <w:szCs w:val="22"/>
        </w:rPr>
        <w:t>Eusko Jaurlaritzako Ingurumen, Lurralde Plangintza eta Etxebizitza Saila 4/2015 Legea garatzeko dekretu-proiektua egiten hasiko da. Ekainaren 25eko 4/2015 Legea Lurzorua kutsatzea saihestu eta kutsatutakoa garbitzekoa da.</w:t>
      </w:r>
    </w:p>
    <w:p w:rsidR="00AA45D2" w:rsidRDefault="00AA45D2" w:rsidP="00AA45D2">
      <w:pPr>
        <w:autoSpaceDE w:val="0"/>
        <w:autoSpaceDN w:val="0"/>
        <w:adjustRightInd w:val="0"/>
        <w:spacing w:line="276" w:lineRule="auto"/>
        <w:jc w:val="both"/>
        <w:rPr>
          <w:rFonts w:ascii="Arial" w:hAnsi="Arial" w:cs="Arial"/>
          <w:sz w:val="22"/>
          <w:szCs w:val="22"/>
        </w:rPr>
      </w:pPr>
    </w:p>
    <w:p w:rsidR="00AA45D2" w:rsidRDefault="00AA45D2" w:rsidP="00AA45D2">
      <w:pPr>
        <w:autoSpaceDE w:val="0"/>
        <w:autoSpaceDN w:val="0"/>
        <w:adjustRightInd w:val="0"/>
        <w:spacing w:line="276" w:lineRule="auto"/>
        <w:jc w:val="both"/>
        <w:rPr>
          <w:rFonts w:ascii="Arial" w:hAnsi="Arial" w:cs="Arial"/>
          <w:sz w:val="22"/>
          <w:szCs w:val="22"/>
        </w:rPr>
      </w:pPr>
      <w:r>
        <w:rPr>
          <w:rFonts w:ascii="Arial" w:hAnsi="Arial"/>
          <w:sz w:val="22"/>
          <w:szCs w:val="22"/>
        </w:rPr>
        <w:t>Urriaren 1eko 39/2015 Legeak –Administrazio Publikoen Administrazio Prozedura Erkidearenak– 133. artikuluko 1. zenbakian ezarritakoarekin bat etorrita, legearen edo erregelamenduaren proiektua edo aurreproiektua egin baino lehen, kontsulta publiko bat bideratu beharko da, administrazio eskudunaren webgunearen bitartez. Kontsultan jasoko da zer iritzi duten etorkizuneko arauak ukitu ahal dituen subjektuek eta antolakunderik ordezkagarrienek. Honako gai hauek jorratu beharko dira kontsultan:</w:t>
      </w:r>
    </w:p>
    <w:p w:rsidR="00AA45D2" w:rsidRDefault="00AA45D2" w:rsidP="00AA45D2">
      <w:pPr>
        <w:autoSpaceDE w:val="0"/>
        <w:autoSpaceDN w:val="0"/>
        <w:adjustRightInd w:val="0"/>
        <w:spacing w:line="276" w:lineRule="auto"/>
        <w:jc w:val="both"/>
        <w:rPr>
          <w:rFonts w:ascii="Arial" w:hAnsi="Arial" w:cs="Arial"/>
          <w:sz w:val="22"/>
          <w:szCs w:val="22"/>
        </w:rPr>
      </w:pPr>
    </w:p>
    <w:p w:rsidR="00AA45D2" w:rsidRDefault="00AA45D2" w:rsidP="00AA45D2">
      <w:pPr>
        <w:autoSpaceDE w:val="0"/>
        <w:autoSpaceDN w:val="0"/>
        <w:adjustRightInd w:val="0"/>
        <w:spacing w:line="276" w:lineRule="auto"/>
        <w:ind w:left="708"/>
        <w:jc w:val="both"/>
        <w:rPr>
          <w:rFonts w:ascii="Arial" w:hAnsi="Arial" w:cs="Arial"/>
          <w:sz w:val="22"/>
          <w:szCs w:val="22"/>
        </w:rPr>
      </w:pPr>
      <w:r>
        <w:rPr>
          <w:rFonts w:ascii="Arial" w:hAnsi="Arial"/>
          <w:sz w:val="22"/>
          <w:szCs w:val="22"/>
        </w:rPr>
        <w:t>a) Ekimenaren bitartez konpondu nahi diren arazoak.</w:t>
      </w:r>
    </w:p>
    <w:p w:rsidR="00AA45D2" w:rsidRDefault="00AA45D2" w:rsidP="00AA45D2">
      <w:pPr>
        <w:autoSpaceDE w:val="0"/>
        <w:autoSpaceDN w:val="0"/>
        <w:adjustRightInd w:val="0"/>
        <w:spacing w:line="276" w:lineRule="auto"/>
        <w:ind w:left="708"/>
        <w:jc w:val="both"/>
        <w:rPr>
          <w:rFonts w:ascii="Arial" w:hAnsi="Arial" w:cs="Arial"/>
          <w:sz w:val="22"/>
          <w:szCs w:val="22"/>
        </w:rPr>
      </w:pPr>
      <w:r>
        <w:rPr>
          <w:rFonts w:ascii="Arial" w:hAnsi="Arial"/>
          <w:sz w:val="22"/>
          <w:szCs w:val="22"/>
        </w:rPr>
        <w:t>b) Onestea beharrezkoa eta egokia den.</w:t>
      </w:r>
    </w:p>
    <w:p w:rsidR="00AA45D2" w:rsidRDefault="00AA45D2" w:rsidP="00AA45D2">
      <w:pPr>
        <w:autoSpaceDE w:val="0"/>
        <w:autoSpaceDN w:val="0"/>
        <w:adjustRightInd w:val="0"/>
        <w:spacing w:line="276" w:lineRule="auto"/>
        <w:ind w:left="708"/>
        <w:jc w:val="both"/>
        <w:rPr>
          <w:rFonts w:ascii="Arial" w:hAnsi="Arial" w:cs="Arial"/>
          <w:sz w:val="22"/>
          <w:szCs w:val="22"/>
        </w:rPr>
      </w:pPr>
      <w:r>
        <w:rPr>
          <w:rFonts w:ascii="Arial" w:hAnsi="Arial"/>
          <w:sz w:val="22"/>
          <w:szCs w:val="22"/>
        </w:rPr>
        <w:t>c) Arauaren helburuak.</w:t>
      </w:r>
    </w:p>
    <w:p w:rsidR="00AA45D2" w:rsidRDefault="00AA45D2" w:rsidP="00AA45D2">
      <w:pPr>
        <w:autoSpaceDE w:val="0"/>
        <w:autoSpaceDN w:val="0"/>
        <w:adjustRightInd w:val="0"/>
        <w:spacing w:line="276" w:lineRule="auto"/>
        <w:ind w:left="708"/>
        <w:jc w:val="both"/>
        <w:rPr>
          <w:rFonts w:ascii="Arial" w:hAnsi="Arial" w:cs="Arial"/>
          <w:sz w:val="22"/>
          <w:szCs w:val="22"/>
        </w:rPr>
      </w:pPr>
      <w:r>
        <w:rPr>
          <w:rFonts w:ascii="Arial" w:hAnsi="Arial"/>
          <w:sz w:val="22"/>
          <w:szCs w:val="22"/>
        </w:rPr>
        <w:t>d) Aukerako beste irtenbide erregulatzaile eta ez-erregulatzaile batzuk.</w:t>
      </w:r>
    </w:p>
    <w:p w:rsidR="00AA45D2" w:rsidRDefault="00AA45D2" w:rsidP="00AA45D2">
      <w:pPr>
        <w:autoSpaceDE w:val="0"/>
        <w:autoSpaceDN w:val="0"/>
        <w:adjustRightInd w:val="0"/>
        <w:spacing w:line="276" w:lineRule="auto"/>
        <w:ind w:left="708"/>
        <w:jc w:val="both"/>
        <w:rPr>
          <w:rFonts w:ascii="Arial" w:hAnsi="Arial" w:cs="Arial"/>
          <w:sz w:val="22"/>
          <w:szCs w:val="22"/>
        </w:rPr>
      </w:pPr>
    </w:p>
    <w:p w:rsidR="00AA45D2" w:rsidRDefault="00AA45D2" w:rsidP="00AA45D2">
      <w:pPr>
        <w:autoSpaceDE w:val="0"/>
        <w:autoSpaceDN w:val="0"/>
        <w:adjustRightInd w:val="0"/>
        <w:spacing w:line="276" w:lineRule="auto"/>
        <w:jc w:val="both"/>
        <w:rPr>
          <w:rFonts w:ascii="Arial" w:hAnsi="Arial" w:cs="Arial"/>
          <w:sz w:val="22"/>
          <w:szCs w:val="22"/>
        </w:rPr>
      </w:pPr>
      <w:r>
        <w:rPr>
          <w:rFonts w:ascii="Arial" w:hAnsi="Arial"/>
          <w:sz w:val="22"/>
          <w:szCs w:val="22"/>
        </w:rPr>
        <w:t>Aurrekoa betetze aldera, eta egiten hasi aurretik, honako gai hauek azaltzen dira:</w:t>
      </w:r>
    </w:p>
    <w:p w:rsidR="00AA45D2" w:rsidRDefault="00AA45D2" w:rsidP="00AA45D2">
      <w:pPr>
        <w:autoSpaceDE w:val="0"/>
        <w:autoSpaceDN w:val="0"/>
        <w:adjustRightInd w:val="0"/>
        <w:spacing w:line="360" w:lineRule="auto"/>
        <w:jc w:val="both"/>
        <w:rPr>
          <w:rFonts w:ascii="Arial" w:hAnsi="Arial" w:cs="Arial"/>
          <w:sz w:val="22"/>
          <w:szCs w:val="22"/>
        </w:rPr>
      </w:pPr>
    </w:p>
    <w:tbl>
      <w:tblPr>
        <w:tblStyle w:val="Tablaconcuadrcula"/>
        <w:tblW w:w="0" w:type="auto"/>
        <w:tblLook w:val="04A0" w:firstRow="1" w:lastRow="0" w:firstColumn="1" w:lastColumn="0" w:noHBand="0" w:noVBand="1"/>
      </w:tblPr>
      <w:tblGrid>
        <w:gridCol w:w="2660"/>
        <w:gridCol w:w="5985"/>
      </w:tblGrid>
      <w:tr w:rsidR="00AA45D2" w:rsidRPr="0094559A" w:rsidTr="00CF16D4">
        <w:tc>
          <w:tcPr>
            <w:tcW w:w="2660" w:type="dxa"/>
          </w:tcPr>
          <w:p w:rsidR="00AA45D2" w:rsidRPr="0094559A" w:rsidRDefault="00AA45D2" w:rsidP="00CF16D4">
            <w:pPr>
              <w:autoSpaceDE w:val="0"/>
              <w:autoSpaceDN w:val="0"/>
              <w:adjustRightInd w:val="0"/>
              <w:spacing w:line="276" w:lineRule="auto"/>
              <w:jc w:val="both"/>
              <w:rPr>
                <w:rFonts w:ascii="Arial" w:hAnsi="Arial" w:cs="Arial"/>
                <w:sz w:val="22"/>
                <w:szCs w:val="22"/>
              </w:rPr>
            </w:pPr>
          </w:p>
          <w:p w:rsidR="00AA45D2" w:rsidRPr="00B329B2" w:rsidRDefault="00AA45D2" w:rsidP="00CF16D4">
            <w:pPr>
              <w:autoSpaceDE w:val="0"/>
              <w:autoSpaceDN w:val="0"/>
              <w:adjustRightInd w:val="0"/>
              <w:spacing w:line="276" w:lineRule="auto"/>
              <w:jc w:val="both"/>
              <w:rPr>
                <w:rFonts w:ascii="Arial" w:hAnsi="Arial" w:cs="Arial"/>
                <w:b/>
                <w:sz w:val="22"/>
                <w:szCs w:val="22"/>
              </w:rPr>
            </w:pPr>
            <w:r>
              <w:rPr>
                <w:rFonts w:ascii="Arial" w:hAnsi="Arial"/>
                <w:b/>
                <w:sz w:val="22"/>
                <w:szCs w:val="22"/>
              </w:rPr>
              <w:t>EKIMENAREN BITARTEZ KONPONDU NAHI DIREN ARAZOAK</w:t>
            </w:r>
          </w:p>
        </w:tc>
        <w:tc>
          <w:tcPr>
            <w:tcW w:w="5985" w:type="dxa"/>
          </w:tcPr>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Lurzorua kutsatzea saihestu eta kutsatutakoa garbitzeko Legeak –ekainaren 25eko 4/2015 Legeak– ingurumenari buruzko alderdi hori arautzen du Euskal Autonomia Erkidegoko lurzorua babesteko. Horretarako, jatorri antropikoko ekintzek lurzoruaren ezaugarri kimikoetan eragin dezaketen aldaketari aurrea hartzea ezartzen du. Horrez gain, lurralde-eremu horretako lurzoru kutsatuen eta eraldatuen arloan aplika daitekeen erregimen juridikoa ere ezartzen du, ingurumena eta pertsonen osasuna zaintze aldera.</w:t>
            </w:r>
          </w:p>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 xml:space="preserve">Legearen testua idatzita dagoen moduan, xehetasun-alderdi batzuk erregelamendu bidez garatu behar dira, lege-mailarik eman gabe. Dekretu-proiektuaren xedea alderdi horiek garatzea da, hain zuzen ere. </w:t>
            </w:r>
          </w:p>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Ildo horretatik, honako hauek dira lege-proiektuan erregelamendu bidez garatuko diren alderdi administratibo eta tekniko horietako batzuk:</w:t>
            </w:r>
          </w:p>
          <w:p w:rsidR="00AA45D2" w:rsidRPr="00CE6CA8" w:rsidRDefault="00AA45D2" w:rsidP="00CF16D4">
            <w:pPr>
              <w:autoSpaceDE w:val="0"/>
              <w:autoSpaceDN w:val="0"/>
              <w:adjustRightInd w:val="0"/>
              <w:spacing w:line="276" w:lineRule="auto"/>
              <w:jc w:val="both"/>
              <w:rPr>
                <w:rFonts w:ascii="Arial" w:hAnsi="Arial" w:cs="Arial"/>
                <w:sz w:val="22"/>
                <w:szCs w:val="22"/>
              </w:rPr>
            </w:pP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Lurzoruaren egoerari buruzko txostenen irismena, edukiak eta aldizkakotasuna.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Ikerlanaren txostenaren edukiak.</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Ikerketa zehaztuari buruzko txostenaren edukia.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Arriskuen analisien gutxieneko edukiak.</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Berreskuratze-planaren edukia.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Gaikako indusketa-planaren edukia.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Lurzoruaren egoerari buruzko txostenak eguneratzeko aldizkakotasuna.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Salbuespen-kasuak aplikatzeko atalaseak.</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Lurzoruaren kalitatearen arloko aitorpen-prozeduretan aplika daitezkeen arauak.</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Salbuespen-kasuetan egin behar den aurretiazko komunikazioaren edukia.</w:t>
            </w:r>
          </w:p>
          <w:p w:rsidR="00AA45D2" w:rsidRPr="00746A23" w:rsidRDefault="00AA45D2" w:rsidP="00AA45D2">
            <w:pPr>
              <w:pStyle w:val="Prrafodelista"/>
              <w:numPr>
                <w:ilvl w:val="0"/>
                <w:numId w:val="2"/>
              </w:numPr>
              <w:autoSpaceDE w:val="0"/>
              <w:autoSpaceDN w:val="0"/>
              <w:adjustRightInd w:val="0"/>
              <w:spacing w:line="276" w:lineRule="auto"/>
              <w:jc w:val="both"/>
              <w:rPr>
                <w:rFonts w:ascii="Arial" w:hAnsi="Arial" w:cs="Arial"/>
                <w:sz w:val="22"/>
                <w:szCs w:val="22"/>
              </w:rPr>
            </w:pPr>
            <w:r>
              <w:rPr>
                <w:rFonts w:ascii="Arial" w:hAnsi="Arial"/>
                <w:sz w:val="22"/>
                <w:szCs w:val="22"/>
              </w:rPr>
              <w:t>Salbuespen-kasuetan egin behar den aurretiazko jakinarazpenaren edukia.</w:t>
            </w:r>
          </w:p>
          <w:p w:rsidR="00AA45D2" w:rsidRPr="00EA6C09" w:rsidRDefault="00AA45D2" w:rsidP="00CF16D4">
            <w:pPr>
              <w:autoSpaceDE w:val="0"/>
              <w:autoSpaceDN w:val="0"/>
              <w:adjustRightInd w:val="0"/>
              <w:spacing w:line="276" w:lineRule="auto"/>
              <w:jc w:val="both"/>
              <w:rPr>
                <w:rFonts w:ascii="Arial" w:hAnsi="Arial" w:cs="Arial"/>
                <w:sz w:val="22"/>
                <w:szCs w:val="22"/>
              </w:rPr>
            </w:pPr>
          </w:p>
        </w:tc>
      </w:tr>
      <w:tr w:rsidR="00AA45D2" w:rsidRPr="0094559A" w:rsidTr="00CF16D4">
        <w:tc>
          <w:tcPr>
            <w:tcW w:w="2660" w:type="dxa"/>
          </w:tcPr>
          <w:p w:rsidR="00AA45D2" w:rsidRDefault="00AA45D2" w:rsidP="00CF16D4">
            <w:pPr>
              <w:autoSpaceDE w:val="0"/>
              <w:autoSpaceDN w:val="0"/>
              <w:adjustRightInd w:val="0"/>
              <w:spacing w:line="276" w:lineRule="auto"/>
              <w:jc w:val="both"/>
              <w:rPr>
                <w:rFonts w:ascii="Arial" w:hAnsi="Arial" w:cs="Arial"/>
                <w:b/>
                <w:sz w:val="22"/>
                <w:szCs w:val="22"/>
              </w:rPr>
            </w:pPr>
          </w:p>
          <w:p w:rsidR="00AA45D2" w:rsidRPr="00E92A12" w:rsidRDefault="00AA45D2" w:rsidP="00CF16D4">
            <w:pPr>
              <w:autoSpaceDE w:val="0"/>
              <w:autoSpaceDN w:val="0"/>
              <w:adjustRightInd w:val="0"/>
              <w:spacing w:line="276" w:lineRule="auto"/>
              <w:jc w:val="both"/>
              <w:rPr>
                <w:rFonts w:ascii="Arial" w:hAnsi="Arial" w:cs="Arial"/>
                <w:b/>
                <w:sz w:val="22"/>
                <w:szCs w:val="22"/>
              </w:rPr>
            </w:pPr>
            <w:r>
              <w:rPr>
                <w:rFonts w:ascii="Arial" w:hAnsi="Arial"/>
                <w:b/>
                <w:sz w:val="22"/>
                <w:szCs w:val="22"/>
              </w:rPr>
              <w:t>ONESTEA BEHARREZKOA ETA EGOKIA DEN</w:t>
            </w:r>
          </w:p>
        </w:tc>
        <w:tc>
          <w:tcPr>
            <w:tcW w:w="5985" w:type="dxa"/>
          </w:tcPr>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 xml:space="preserve">Lurzorua kutsaduratik babesteko lehenengo araua 2005ean eman zen. Handik hona, arlo horretako jarduketak behar bezalako prozeduren bidez sistematizatu dira. </w:t>
            </w:r>
          </w:p>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Hala eta guztiz ere, araudi hori aplikatzean metatu den eskarmentuan oinarrituta, beharrezko irizten zaio 4/2015 Legean prozedura berriak sartzeari. Alabaina, prozedura horiek ondo abiaraziko badira, garatu egin behar dira. Era berean, eskarmentuari eta bilakaera teknikoari erreparatzen badiegu, komeni da zenbait alderdi eguneratzea (arestian aipatutakoak eta sor daitezkeen beste batzuk). Horren guztiaren xedea hauxe da: ikerketak, berreskuratze-jarduna eta aitorpenak egiteko moduak eta benetako egoerak ahalik eta gehien bateratzea, eta, ahal denean, erraztea.</w:t>
            </w:r>
          </w:p>
          <w:p w:rsidR="00AA45D2" w:rsidRPr="00884525" w:rsidRDefault="00AA45D2" w:rsidP="00CF16D4">
            <w:pPr>
              <w:autoSpaceDE w:val="0"/>
              <w:autoSpaceDN w:val="0"/>
              <w:adjustRightInd w:val="0"/>
              <w:spacing w:line="276" w:lineRule="auto"/>
              <w:jc w:val="both"/>
              <w:rPr>
                <w:rFonts w:ascii="Arial" w:hAnsi="Arial" w:cs="Arial"/>
                <w:sz w:val="22"/>
                <w:szCs w:val="22"/>
              </w:rPr>
            </w:pPr>
          </w:p>
        </w:tc>
      </w:tr>
      <w:tr w:rsidR="00AA45D2" w:rsidRPr="0094559A" w:rsidTr="00CF16D4">
        <w:tc>
          <w:tcPr>
            <w:tcW w:w="2660" w:type="dxa"/>
          </w:tcPr>
          <w:p w:rsidR="00AA45D2" w:rsidRPr="0094559A" w:rsidRDefault="00AA45D2" w:rsidP="00CF16D4">
            <w:pPr>
              <w:autoSpaceDE w:val="0"/>
              <w:autoSpaceDN w:val="0"/>
              <w:adjustRightInd w:val="0"/>
              <w:spacing w:line="276" w:lineRule="auto"/>
              <w:jc w:val="both"/>
              <w:rPr>
                <w:rFonts w:ascii="Arial" w:hAnsi="Arial" w:cs="Arial"/>
                <w:sz w:val="22"/>
                <w:szCs w:val="22"/>
              </w:rPr>
            </w:pPr>
          </w:p>
          <w:p w:rsidR="00AA45D2" w:rsidRPr="00E92A12" w:rsidRDefault="00AA45D2" w:rsidP="00CF16D4">
            <w:pPr>
              <w:autoSpaceDE w:val="0"/>
              <w:autoSpaceDN w:val="0"/>
              <w:adjustRightInd w:val="0"/>
              <w:spacing w:line="276" w:lineRule="auto"/>
              <w:jc w:val="both"/>
              <w:rPr>
                <w:rFonts w:ascii="Arial" w:hAnsi="Arial" w:cs="Arial"/>
                <w:b/>
                <w:sz w:val="22"/>
                <w:szCs w:val="22"/>
              </w:rPr>
            </w:pPr>
            <w:r>
              <w:rPr>
                <w:rFonts w:ascii="Arial" w:hAnsi="Arial"/>
                <w:b/>
                <w:sz w:val="22"/>
                <w:szCs w:val="22"/>
              </w:rPr>
              <w:t>ARAUAREN HELBURUAK</w:t>
            </w:r>
          </w:p>
        </w:tc>
        <w:tc>
          <w:tcPr>
            <w:tcW w:w="5985" w:type="dxa"/>
          </w:tcPr>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Dekretu-proiektuaren xedea 4/2015 Legea, ekainaren 25ekoa, Lurzorua kutsatzea saihestu eta kutsatutakoa garbitzekoa, garatzea da. Horretarako, lurzoruaren kalitatearen arloko prozedurak erregulatzeko arauak ezarri beharko dira, bai eta lurzoruaren kalitatea ezagutzeko eta kontrolatzeko tresnen edukia eta irismena ere.</w:t>
            </w:r>
          </w:p>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 xml:space="preserve">Halaber, tresna egokia izan liteke, lurzorua kutsa dezaketen jarduerak eta instalazioak dituzten lurzoruen inbentarioa eguneratzeko eta berrikusteko prozedura eta </w:t>
            </w:r>
            <w:r>
              <w:rPr>
                <w:rFonts w:ascii="Arial" w:hAnsi="Arial"/>
                <w:sz w:val="22"/>
                <w:szCs w:val="22"/>
              </w:rPr>
              <w:lastRenderedPageBreak/>
              <w:t>osaera erregulatzeko.</w:t>
            </w:r>
          </w:p>
          <w:p w:rsidR="00AA45D2" w:rsidRDefault="00AA45D2" w:rsidP="00CF16D4">
            <w:pPr>
              <w:autoSpaceDE w:val="0"/>
              <w:autoSpaceDN w:val="0"/>
              <w:adjustRightInd w:val="0"/>
              <w:spacing w:line="276" w:lineRule="auto"/>
              <w:jc w:val="both"/>
              <w:rPr>
                <w:rFonts w:ascii="Arial" w:hAnsi="Arial" w:cs="Arial"/>
                <w:sz w:val="22"/>
                <w:szCs w:val="22"/>
              </w:rPr>
            </w:pPr>
          </w:p>
        </w:tc>
      </w:tr>
      <w:tr w:rsidR="00AA45D2" w:rsidRPr="0094559A" w:rsidTr="00CF16D4">
        <w:trPr>
          <w:trHeight w:val="1311"/>
        </w:trPr>
        <w:tc>
          <w:tcPr>
            <w:tcW w:w="2660" w:type="dxa"/>
          </w:tcPr>
          <w:p w:rsidR="00AA45D2" w:rsidRPr="0094559A" w:rsidRDefault="00AA45D2" w:rsidP="00CF16D4">
            <w:pPr>
              <w:autoSpaceDE w:val="0"/>
              <w:autoSpaceDN w:val="0"/>
              <w:adjustRightInd w:val="0"/>
              <w:spacing w:line="276" w:lineRule="auto"/>
              <w:jc w:val="both"/>
              <w:rPr>
                <w:rFonts w:ascii="Arial" w:hAnsi="Arial" w:cs="Arial"/>
                <w:sz w:val="22"/>
                <w:szCs w:val="22"/>
              </w:rPr>
            </w:pPr>
          </w:p>
          <w:p w:rsidR="00AA45D2" w:rsidRPr="00E92A12" w:rsidRDefault="00AA45D2" w:rsidP="00CF16D4">
            <w:pPr>
              <w:autoSpaceDE w:val="0"/>
              <w:autoSpaceDN w:val="0"/>
              <w:adjustRightInd w:val="0"/>
              <w:spacing w:line="276" w:lineRule="auto"/>
              <w:jc w:val="both"/>
              <w:rPr>
                <w:rFonts w:ascii="Arial" w:hAnsi="Arial" w:cs="Arial"/>
                <w:b/>
                <w:sz w:val="22"/>
                <w:szCs w:val="22"/>
              </w:rPr>
            </w:pPr>
            <w:r>
              <w:rPr>
                <w:rFonts w:ascii="Arial" w:hAnsi="Arial"/>
                <w:b/>
                <w:sz w:val="22"/>
                <w:szCs w:val="22"/>
              </w:rPr>
              <w:t>AUKERAKO BESTE IRTENBIDE ERREGULATZAILE ETA EZ-ERREGULATZAILE BATZUK</w:t>
            </w:r>
          </w:p>
        </w:tc>
        <w:tc>
          <w:tcPr>
            <w:tcW w:w="5985" w:type="dxa"/>
          </w:tcPr>
          <w:p w:rsidR="00AA45D2" w:rsidRDefault="00AA45D2" w:rsidP="00CF16D4">
            <w:pPr>
              <w:autoSpaceDE w:val="0"/>
              <w:autoSpaceDN w:val="0"/>
              <w:adjustRightInd w:val="0"/>
              <w:spacing w:line="276" w:lineRule="auto"/>
              <w:jc w:val="both"/>
              <w:rPr>
                <w:rFonts w:ascii="Arial" w:hAnsi="Arial" w:cs="Arial"/>
                <w:sz w:val="22"/>
                <w:szCs w:val="22"/>
              </w:rPr>
            </w:pPr>
          </w:p>
          <w:p w:rsidR="00AA45D2" w:rsidRDefault="00AA45D2" w:rsidP="00CF16D4">
            <w:pPr>
              <w:autoSpaceDE w:val="0"/>
              <w:autoSpaceDN w:val="0"/>
              <w:adjustRightInd w:val="0"/>
              <w:spacing w:line="276" w:lineRule="auto"/>
              <w:jc w:val="both"/>
              <w:rPr>
                <w:rFonts w:ascii="Arial" w:hAnsi="Arial" w:cs="Arial"/>
                <w:sz w:val="22"/>
                <w:szCs w:val="22"/>
              </w:rPr>
            </w:pPr>
            <w:r>
              <w:rPr>
                <w:rFonts w:ascii="Arial" w:hAnsi="Arial"/>
                <w:sz w:val="22"/>
                <w:szCs w:val="22"/>
              </w:rPr>
              <w:t>Aurreko ataletan azaldu diren inguruabarrak direla eta, nahitaezkoa da dekretu-proiektu hau egitea. Ez dago aukerako irtenbiderik; batez ere, 4/2015 Legean hori egitea lege-agindu gisa ezarrita dagoelako.</w:t>
            </w:r>
          </w:p>
          <w:p w:rsidR="00AA45D2" w:rsidRDefault="00AA45D2" w:rsidP="00CF16D4">
            <w:pPr>
              <w:autoSpaceDE w:val="0"/>
              <w:autoSpaceDN w:val="0"/>
              <w:adjustRightInd w:val="0"/>
              <w:spacing w:line="276" w:lineRule="auto"/>
              <w:jc w:val="both"/>
              <w:rPr>
                <w:rFonts w:ascii="Arial" w:hAnsi="Arial" w:cs="Arial"/>
                <w:sz w:val="22"/>
                <w:szCs w:val="22"/>
              </w:rPr>
            </w:pPr>
          </w:p>
        </w:tc>
      </w:tr>
    </w:tbl>
    <w:p w:rsidR="00AA45D2" w:rsidRPr="00DB0BC9" w:rsidRDefault="00AA45D2" w:rsidP="00AA45D2">
      <w:pPr>
        <w:autoSpaceDE w:val="0"/>
        <w:autoSpaceDN w:val="0"/>
        <w:adjustRightInd w:val="0"/>
        <w:spacing w:line="276" w:lineRule="auto"/>
        <w:jc w:val="both"/>
        <w:rPr>
          <w:rFonts w:ascii="Arial" w:hAnsi="Arial" w:cs="Arial"/>
          <w:sz w:val="22"/>
          <w:szCs w:val="22"/>
        </w:rPr>
      </w:pPr>
    </w:p>
    <w:p w:rsidR="002F2942" w:rsidRPr="0043681E" w:rsidRDefault="002F2942" w:rsidP="0043681E">
      <w:bookmarkStart w:id="0" w:name="_GoBack"/>
      <w:bookmarkEnd w:id="0"/>
    </w:p>
    <w:sectPr w:rsidR="002F2942" w:rsidRPr="0043681E">
      <w:headerReference w:type="even" r:id="rId8"/>
      <w:headerReference w:type="default" r:id="rId9"/>
      <w:footerReference w:type="even" r:id="rId10"/>
      <w:footerReference w:type="default" r:id="rId11"/>
      <w:headerReference w:type="first" r:id="rId12"/>
      <w:footerReference w:type="first" r:id="rId13"/>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5D2" w:rsidRDefault="00AA45D2">
      <w:r>
        <w:separator/>
      </w:r>
    </w:p>
  </w:endnote>
  <w:endnote w:type="continuationSeparator" w:id="0">
    <w:p w:rsidR="00AA45D2" w:rsidRDefault="00AA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Pr="00C5743C" w:rsidRDefault="00C5743C">
    <w:pPr>
      <w:pStyle w:val="Piedepgina"/>
      <w:jc w:val="center"/>
      <w:rPr>
        <w:rFonts w:ascii="Arial" w:hAnsi="Arial"/>
        <w:sz w:val="13"/>
        <w:lang w:val="it-IT"/>
      </w:rPr>
    </w:pPr>
    <w:r w:rsidRPr="00C5743C">
      <w:rPr>
        <w:rFonts w:ascii="Arial" w:hAnsi="Arial"/>
        <w:sz w:val="13"/>
        <w:lang w:val="it-IT"/>
      </w:rPr>
      <w:t>Donostia – San</w:t>
    </w:r>
    <w:r w:rsidR="00915860">
      <w:rPr>
        <w:rFonts w:ascii="Arial" w:hAnsi="Arial"/>
        <w:sz w:val="13"/>
        <w:lang w:val="it-IT"/>
      </w:rPr>
      <w:t xml:space="preserve"> Sebastián, 1 – Tef. 945 01 96 3</w:t>
    </w:r>
    <w:r w:rsidRPr="00C5743C">
      <w:rPr>
        <w:rFonts w:ascii="Arial" w:hAnsi="Arial"/>
        <w:sz w:val="13"/>
        <w:lang w:val="it-IT"/>
      </w:rPr>
      <w:t>1 – Fax 945 01 98 56 – 01010 Vitoria-Gasteiz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5D2" w:rsidRDefault="00AA45D2">
      <w:r>
        <w:separator/>
      </w:r>
    </w:p>
  </w:footnote>
  <w:footnote w:type="continuationSeparator" w:id="0">
    <w:p w:rsidR="00AA45D2" w:rsidRDefault="00AA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967" w:rsidRDefault="003B09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C5743C">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6pt;height:24pt" o:ole="" fillcolor="window">
          <v:imagedata r:id="rId1" o:title=""/>
        </v:shape>
        <o:OLEObject Type="Embed" ProgID="MSPhotoEd.3" ShapeID="_x0000_i1025" DrawAspect="Content" ObjectID="_1578723166" r:id="rId2"/>
      </w:object>
    </w:r>
  </w:p>
  <w:p w:rsidR="00C5743C" w:rsidRDefault="00C5743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43C" w:rsidRDefault="00AA45D2">
    <w:pPr>
      <w:pStyle w:val="Encabezado"/>
      <w:tabs>
        <w:tab w:val="right" w:pos="9923"/>
      </w:tabs>
      <w:ind w:right="-142"/>
      <w:jc w:val="center"/>
      <w:rPr>
        <w:rFonts w:ascii="Arial" w:hAnsi="Arial"/>
        <w:sz w:val="16"/>
      </w:rPr>
    </w:pPr>
    <w:r>
      <w:rPr>
        <w:noProof/>
        <w:lang w:val="es-ES"/>
      </w:rPr>
      <mc:AlternateContent>
        <mc:Choice Requires="wps">
          <w:drawing>
            <wp:anchor distT="0" distB="0" distL="114300" distR="114300" simplePos="0" relativeHeight="251658240" behindDoc="0" locked="0" layoutInCell="1" allowOverlap="1">
              <wp:simplePos x="0" y="0"/>
              <wp:positionH relativeFrom="page">
                <wp:posOffset>1781175</wp:posOffset>
              </wp:positionH>
              <wp:positionV relativeFrom="page">
                <wp:posOffset>900430</wp:posOffset>
              </wp:positionV>
              <wp:extent cx="2002790" cy="6350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0.25pt;margin-top:70.9pt;width:157.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" filled="f" stroked="f">
              <v:textbox>
                <w:txbxContent>
                  <w:p w:rsidR="00A26F54" w:rsidRDefault="00A26F54" w:rsidP="00A26F54">
                    <w:pPr>
                      <w:pStyle w:val="Ttulo2"/>
                      <w:spacing w:after="35"/>
                    </w:pPr>
                    <w:r>
                      <w:t>INGURUMEN, LURRALDE PLANGINTZA ETA ETXEBIZITZA SAILA</w:t>
                    </w:r>
                  </w:p>
                  <w:p w:rsidR="00A26F54" w:rsidRDefault="00A26F54" w:rsidP="00A26F54">
                    <w:pPr>
                      <w:pStyle w:val="Ttulo4"/>
                    </w:pPr>
                  </w:p>
                </w:txbxContent>
              </v:textbox>
              <w10:wrap type="square" anchorx="page" anchory="page"/>
            </v:shape>
          </w:pict>
        </mc:Fallback>
      </mc:AlternateContent>
    </w:r>
    <w:r>
      <w:rPr>
        <w:noProof/>
        <w:lang w:val="es-ES"/>
      </w:rPr>
      <mc:AlternateContent>
        <mc:Choice Requires="wps">
          <w:drawing>
            <wp:anchor distT="0" distB="0" distL="114300" distR="114300" simplePos="0" relativeHeight="251657216" behindDoc="0" locked="0" layoutInCell="1" allowOverlap="1">
              <wp:simplePos x="0" y="0"/>
              <wp:positionH relativeFrom="page">
                <wp:posOffset>4124325</wp:posOffset>
              </wp:positionH>
              <wp:positionV relativeFrom="page">
                <wp:posOffset>900430</wp:posOffset>
              </wp:positionV>
              <wp:extent cx="2105025" cy="5041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4.75pt;margin-top:70.9pt;width:165.75pt;height:3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02tw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" filled="f" stroked="f">
              <v:textbox>
                <w:txbxContent>
                  <w:p w:rsidR="00A26F54" w:rsidRDefault="00A26F54" w:rsidP="00A26F54">
                    <w:pPr>
                      <w:pStyle w:val="Ttulo2"/>
                      <w:spacing w:after="35"/>
                    </w:pPr>
                    <w:r>
                      <w:t>DEPARTAMENTO DE MEDIO AMBIENTE,</w:t>
                    </w:r>
                    <w:r>
                      <w:br/>
                      <w:t>PLANIFICACIÓN TERRITORIAL Y VIVIENDA</w:t>
                    </w:r>
                  </w:p>
                  <w:p w:rsidR="00A26F54" w:rsidRDefault="00A26F54" w:rsidP="00A26F54">
                    <w:pPr>
                      <w:pStyle w:val="Ttulo4"/>
                    </w:pPr>
                  </w:p>
                </w:txbxContent>
              </v:textbox>
              <w10:wrap type="square" anchorx="page" anchory="page"/>
            </v:shape>
          </w:pict>
        </mc:Fallback>
      </mc:AlternateContent>
    </w:r>
    <w:r w:rsidR="00C5743C">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6.6pt" o:ole="" fillcolor="window">
          <v:imagedata r:id="rId1" o:title=""/>
        </v:shape>
        <o:OLEObject Type="Embed" ProgID="MSPhotoEd.3" ShapeID="_x0000_i1026" DrawAspect="Content" ObjectID="_1578723167" r:id="rId2"/>
      </w:object>
    </w: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p w:rsidR="00C5743C" w:rsidRDefault="00C5743C">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ECA"/>
    <w:multiLevelType w:val="hybridMultilevel"/>
    <w:tmpl w:val="064850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CF213C0"/>
    <w:multiLevelType w:val="hybridMultilevel"/>
    <w:tmpl w:val="CD28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D2"/>
    <w:rsid w:val="000426F2"/>
    <w:rsid w:val="00045AED"/>
    <w:rsid w:val="000934E0"/>
    <w:rsid w:val="00094EF5"/>
    <w:rsid w:val="00104873"/>
    <w:rsid w:val="001319CB"/>
    <w:rsid w:val="001739E9"/>
    <w:rsid w:val="001F794C"/>
    <w:rsid w:val="00210166"/>
    <w:rsid w:val="002932E3"/>
    <w:rsid w:val="00294EE0"/>
    <w:rsid w:val="002D7662"/>
    <w:rsid w:val="002F2942"/>
    <w:rsid w:val="00304BC1"/>
    <w:rsid w:val="003522F8"/>
    <w:rsid w:val="00384418"/>
    <w:rsid w:val="003A08A5"/>
    <w:rsid w:val="003B0967"/>
    <w:rsid w:val="003C2063"/>
    <w:rsid w:val="003C3AC4"/>
    <w:rsid w:val="003D6AE1"/>
    <w:rsid w:val="0043681E"/>
    <w:rsid w:val="0056575A"/>
    <w:rsid w:val="00572A1F"/>
    <w:rsid w:val="00573683"/>
    <w:rsid w:val="00575F4D"/>
    <w:rsid w:val="005F64A6"/>
    <w:rsid w:val="0063659C"/>
    <w:rsid w:val="00667D1F"/>
    <w:rsid w:val="00675C1E"/>
    <w:rsid w:val="00676866"/>
    <w:rsid w:val="006915D2"/>
    <w:rsid w:val="006963BA"/>
    <w:rsid w:val="006F39ED"/>
    <w:rsid w:val="007A52BA"/>
    <w:rsid w:val="007E2B30"/>
    <w:rsid w:val="00860D91"/>
    <w:rsid w:val="008D29A4"/>
    <w:rsid w:val="008E4B64"/>
    <w:rsid w:val="00915860"/>
    <w:rsid w:val="00996F86"/>
    <w:rsid w:val="009D2C39"/>
    <w:rsid w:val="00A245E5"/>
    <w:rsid w:val="00A26F54"/>
    <w:rsid w:val="00A63FC7"/>
    <w:rsid w:val="00AA45D2"/>
    <w:rsid w:val="00AA6D4C"/>
    <w:rsid w:val="00AC51AC"/>
    <w:rsid w:val="00AE5848"/>
    <w:rsid w:val="00B708CB"/>
    <w:rsid w:val="00B74B15"/>
    <w:rsid w:val="00C0185A"/>
    <w:rsid w:val="00C15EBC"/>
    <w:rsid w:val="00C16242"/>
    <w:rsid w:val="00C20F4E"/>
    <w:rsid w:val="00C27421"/>
    <w:rsid w:val="00C5743C"/>
    <w:rsid w:val="00C66388"/>
    <w:rsid w:val="00CB78EF"/>
    <w:rsid w:val="00DB047B"/>
    <w:rsid w:val="00DE4F84"/>
    <w:rsid w:val="00DF0C4E"/>
    <w:rsid w:val="00E12993"/>
    <w:rsid w:val="00E24BAB"/>
    <w:rsid w:val="00EA3BF1"/>
    <w:rsid w:val="00EC604F"/>
    <w:rsid w:val="00EE2596"/>
    <w:rsid w:val="00F21726"/>
    <w:rsid w:val="00F2575B"/>
    <w:rsid w:val="00F41613"/>
    <w:rsid w:val="00FE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5D2"/>
    <w:rPr>
      <w:sz w:val="24"/>
      <w:szCs w:val="24"/>
      <w:lang w:val="eu-ES"/>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AA45D2"/>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5D2"/>
    <w:rPr>
      <w:sz w:val="24"/>
      <w:szCs w:val="24"/>
      <w:lang w:val="eu-ES"/>
    </w:rPr>
  </w:style>
  <w:style w:type="paragraph" w:styleId="Ttulo2">
    <w:name w:val="heading 2"/>
    <w:basedOn w:val="Normal"/>
    <w:next w:val="Normal"/>
    <w:qFormat/>
    <w:rsid w:val="00C5743C"/>
    <w:pPr>
      <w:keepNext/>
      <w:outlineLvl w:val="1"/>
    </w:pPr>
    <w:rPr>
      <w:rFonts w:ascii="Arial" w:hAnsi="Arial"/>
      <w:b/>
      <w:sz w:val="14"/>
    </w:rPr>
  </w:style>
  <w:style w:type="paragraph" w:styleId="Ttulo4">
    <w:name w:val="heading 4"/>
    <w:basedOn w:val="Normal"/>
    <w:next w:val="Normal"/>
    <w:qFormat/>
    <w:rsid w:val="00C5743C"/>
    <w:pPr>
      <w:keepNext/>
      <w:spacing w:before="35"/>
      <w:outlineLvl w:val="3"/>
    </w:pPr>
    <w:rPr>
      <w:rFonts w:ascii="Arial" w:hAnsi="Arial"/>
      <w:i/>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C5743C"/>
    <w:pPr>
      <w:tabs>
        <w:tab w:val="center" w:pos="4819"/>
        <w:tab w:val="right" w:pos="9071"/>
      </w:tabs>
    </w:pPr>
  </w:style>
  <w:style w:type="paragraph" w:styleId="Encabezado">
    <w:name w:val="header"/>
    <w:basedOn w:val="Normal"/>
    <w:rsid w:val="00C5743C"/>
    <w:pPr>
      <w:tabs>
        <w:tab w:val="center" w:pos="4819"/>
        <w:tab w:val="right" w:pos="9071"/>
      </w:tabs>
    </w:pPr>
  </w:style>
  <w:style w:type="paragraph" w:styleId="Textoindependiente">
    <w:name w:val="Body Text"/>
    <w:basedOn w:val="Normal"/>
    <w:link w:val="TextoindependienteCar"/>
    <w:rsid w:val="000934E0"/>
    <w:rPr>
      <w:rFonts w:ascii="Arial" w:hAnsi="Arial" w:cs="Arial"/>
      <w:sz w:val="19"/>
      <w:szCs w:val="19"/>
      <w:lang w:val="en-US" w:eastAsia="en-US"/>
    </w:rPr>
  </w:style>
  <w:style w:type="character" w:customStyle="1" w:styleId="TextoindependienteCar">
    <w:name w:val="Texto independiente Car"/>
    <w:link w:val="Textoindependiente"/>
    <w:rsid w:val="000934E0"/>
    <w:rPr>
      <w:rFonts w:ascii="Arial" w:hAnsi="Arial" w:cs="Arial"/>
      <w:sz w:val="19"/>
      <w:szCs w:val="19"/>
      <w:lang w:val="en-US" w:eastAsia="en-US"/>
    </w:rPr>
  </w:style>
  <w:style w:type="paragraph" w:styleId="Prrafodelista">
    <w:name w:val="List Paragraph"/>
    <w:basedOn w:val="Normal"/>
    <w:uiPriority w:val="34"/>
    <w:qFormat/>
    <w:rsid w:val="002F2942"/>
    <w:pPr>
      <w:ind w:left="720"/>
      <w:contextualSpacing/>
    </w:pPr>
    <w:rPr>
      <w:lang w:eastAsia="eu-ES" w:bidi="eu-ES"/>
    </w:rPr>
  </w:style>
  <w:style w:type="paragraph" w:styleId="Textonotaalfinal">
    <w:name w:val="endnote text"/>
    <w:basedOn w:val="Normal"/>
    <w:link w:val="TextonotaalfinalCar"/>
    <w:rsid w:val="002F2942"/>
    <w:rPr>
      <w:sz w:val="20"/>
      <w:szCs w:val="20"/>
    </w:rPr>
  </w:style>
  <w:style w:type="character" w:customStyle="1" w:styleId="TextonotaalfinalCar">
    <w:name w:val="Texto nota al final Car"/>
    <w:basedOn w:val="Fuentedeprrafopredeter"/>
    <w:link w:val="Textonotaalfinal"/>
    <w:rsid w:val="002F2942"/>
  </w:style>
  <w:style w:type="character" w:styleId="Refdenotaalfinal">
    <w:name w:val="endnote reference"/>
    <w:rsid w:val="002F2942"/>
    <w:rPr>
      <w:vertAlign w:val="superscript"/>
    </w:rPr>
  </w:style>
  <w:style w:type="table" w:styleId="Tablaconcuadrcula">
    <w:name w:val="Table Grid"/>
    <w:basedOn w:val="Tablanormal"/>
    <w:rsid w:val="00AA45D2"/>
    <w:rPr>
      <w:lang w:val="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mgutirod\AppData\Roaming\Microsoft\Plantillas\Plantilla%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Departamento.dot</Template>
  <TotalTime>1</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Gutiérrez Rodríguez, Marisol</dc:creator>
  <cp:lastModifiedBy>Gutiérrez Rodríguez, Marisol</cp:lastModifiedBy>
  <cp:revision>1</cp:revision>
  <cp:lastPrinted>2015-08-12T08:39:00Z</cp:lastPrinted>
  <dcterms:created xsi:type="dcterms:W3CDTF">2018-01-29T08:25:00Z</dcterms:created>
  <dcterms:modified xsi:type="dcterms:W3CDTF">2018-01-29T08:26:00Z</dcterms:modified>
</cp:coreProperties>
</file>